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IV 112</w:t>
      </w:r>
    </w:p>
    <w:p>
      <w:r>
        <w:t>Bundesgericht (BGE), 1982-10-19, DE</w:t>
      </w:r>
    </w:p>
    <w:p>
      <w:r>
        <w:rPr>
          <w:b/>
        </w:rPr>
        <w:t xml:space="preserve">Quelle: </w:t>
      </w:r>
      <w:r>
        <w:t>https://mcp.opencaselaw.ch/entscheid/bge_108 IV 112</w:t>
      </w:r>
    </w:p>
    <w:p>
      <w:r>
        <w:t>FR: ATF 108 IV 112</w:t>
      </w:r>
    </w:p>
    <w:p>
      <w:r>
        <w:t>IT: DTF 108 IV 112</w:t>
      </w:r>
    </w:p>
    <w:p>
      <w:pPr>
        <w:pStyle w:val="Heading2"/>
      </w:pPr>
      <w:r>
        <w:t>Regeste</w:t>
      </w:r>
    </w:p>
    <w:p>
      <w:r>
        <w:t>Regeste Art. 33 Abs. 3 der Verordnung über Bau und Ausrüstung der Strassenfahrzeuge (BAV). Fahrtschreiberaufzeichnungen als Beweismittel. Art. 33 Abs. 3 BAV, wonach bestimmte Motorfahrzeuge mit einem Fahrtschreiber zur Kontrolle der Arbeits- und Ruhezeit und zur Abklärung von Unfällen ausgerüstet sein müssen, enthält keine abschliessende Aufzählung der zulässigen Verwendungsmöglichkeiten dieses Instruments und verbietet nicht die Berücksichtigung von Fahrtschreiberaufzeichnungen zu Zwecken, die in dieser Bestimmung nicht genannt sind, z.B. zum Beweis von einige Stunden vor einem Unfall begangenen Übertretungen der Vorschriften über die Höchstgeschwindigkeit (E. 1).</w:t>
      </w:r>
    </w:p>
    <w:p>
      <w:pPr>
        <w:pStyle w:val="Heading2"/>
      </w:pPr>
      <w:r>
        <w:t>Erwägungen</w:t>
      </w:r>
    </w:p>
    <w:p>
      <w:r>
        <w:rPr>
          <w:b/>
        </w:rPr>
        <w:t>E. 1</w:t>
      </w:r>
    </w:p>
    <w:p>
      <w:r>
        <w:t>a) Der Beschwerdeführer bestreitet nicht, dass er gemäss den Aufzeichnungen des Fahrtschreibers am Morgen des 10. August 1981 die für Sattelmotorfahrzeuge auf Autobahnen und Autostrassen zulässige Höchstgeschwindigkeit von 80 km/h ( Art. 5 Abs. 2 VRV ) überschritten hat. Er macht aber geltend, die Fahrtschreiber-Diagrammscheibe dürfe in seinem Fall nicht als Beweismittel herangezogen und er könne daher wegen der allein durch das Diagramm ausgewiesenen Überschreitung der zulässigen Geschwindigkeit nicht bestraft werden. Zur Begründung beruft er sich auf Art. 33 Abs. 3 BAV sowie auf die Weisungen des EJPD vom 11. September 1972 über Geschwindigkeitskontrollen im Strassenverkehr. Art. 33 Abs. 3 BAV lautet: "Mit einem Fahrtschreiber zur Kontrolle der Arbeits- und Ruhezeit und zur Abklärung von Unfällen müssen ausgerüstet sein: ..." bzw. "Doivent être équipés d'un tachygraphe permettant de contrôler la durée du travail et du repos et de déterminer les vitesses en cas d'accident: ..." bzw. "Devono essere muniti di un odocronografo che permetta di controlare la durata del lavoro e del riposo e di chiarire un infortunio: ..." Der Beschwerdeführer zieht aus dieser Bestimmung den Umkehrschluss, "dass der Fahrtschreiber als Beweismittel für andere als die bezeichneten Verkehrsregelverletzungen nicht Verwendung finden darf". Der Fahrtschreiber darf seines Erachtens nicht zum nachträglichen Beweis für eine Geschwindigkeitsüberschreitung herangezogen werden, die zu keinem Unfall geführt hat. Art. 33 Abs. 3 BAV enthält nach Ansicht des Beschwerdeführers "mithin BGE 108 IV 112 S. 115 eine gesetzliche Beschränkung der grundsätzlich freien richterlichen Beweiswürdigung". Diese Auffassung, die der Kreisgerichtsausschuss Chur namentlich gestützt auf die Weisungen des EJPD vom 11. September 1972 über Geschwindigkeitskontrollen im Strassenverkehr teilte, wurde von der Vorinstanz mit Recht verworfen. b) Art. 33 Abs. 3 BAV bestimmt nicht, zu welchen Zwecken bzw. in welchen Fällen die Fahrtschreiberaufzeichnungen verwendet werden dürfen, sondern gibt an, zu welchen Zwecken die dort genannten Fahrzeuge mit Fahrtschreibern ausgerüstet sein müssen. Art. 33 Abs. 3 BAV deutet die Gründe an, die den Gesetzgeber bewogen haben, für bestimmte Fahrzeugkategorien ein Fahrtschreiber-Obligatorium einzuführen. Der Fahrtschreiber ist ein allgemein anerkanntes Mittel zur Unfallabklärung und zur Unfallbekämpfung. Der Fahrzeuglenker wird die Vorschriften über die Arbeits- und Ruhezeit sowie die zulässige Höchstgeschwindigkeit eher befolgen, wenn er weiss, dass deren Einhaltung mittels des Fahrtschreibers überprüft werden kann. Der Gesetzgeber erachtete es als notwendig, für bestimmte Fahrzeugkategorien, die aus verschiedenen Gründen - hohe Kilometerleistung, Einsatz zu Erwerbszwecken, System der Entlöhnung der Chauffeure usw. - verhältnismässig häufig in Unfälle verwickelt sind, den Einbau von Fahrtschreibern anzuordnen (siehe zum Ganzen etwa den Bericht des EJPD vom 31. August 1970 zum "Einbau des Fahrtschreibers in Taxis mit städtischer Sonderregelung - Eine Notwendigkeit oder überspitzter Perfektionismus?", insbes. S. 7 ff.). Art. 33 Abs. 3 BAV ist das Ergebnis solcher Überlegungen. Aus dieser Bestimmung geht zudem hervor, dass die Fahrtschreiber so beschaffen sein und in der Weise in Betrieb gehalten werden müssen, dass die genannten Ziele erreicht werden können. Mehr lässt sich Art. 33 Abs. 3 BAV nicht entnehmen. Die Bestimmung nennt somit jene Verwendungsmöglichkeiten des Fahrtschreibers, die den Gesetzgeber zur Schaffung des Fahrtschreiber-Obligatoriums für gewisse Fahrzeugkategorien veranlassten. Indem der Gesetzgeber die für ihn massgebende Zweckbestimmung des Fahrtschreibers in Art. 33 Abs. 3 BAV ausdrücklich bezeichnete, hat er entgegen der Ansicht des Beschwerdeführers nicht zugleich die übrigen Verwendungsmöglichkeiten dieses Instruments, die er allenfalls gar nicht bedacht hatte und welche für ihn jedenfalls nicht bestimmend waren, als unzulässig ausgeschlossen. Dass die Ausrüstung gewisser Fahrzeugkategorien mit BGE 108 IV 112 S. 116 Fahrtschreibern "nicht vorgeschrieben (wurde), damit nachträglich nach Geschwindigkeitsverletzungen gesucht werden kann, die nicht anderweitig festgestellt wurden", wie in den bereits erwähnten Weisungen des EJPD vom 11. September 1972 zutreffend festgehalten wird, ist demnach entgegen der Ansicht des Departements insoweit unerheblich. Art. 33 Abs. 3 BAV verbietet nicht die Berücksichtigung von Fahrtschreiberaufzeichnungen zu Zwecken, die in dieser Bestimmung nicht genannt sind. Eine Einschränkung des fundamentalen Grundsatzes der freien Beweiswürdigung durch ein Beweismittelverbot bedarf einer klaren und eindeutigen gesetzlichen Regelung in dem Sinne, dass die in Art. 33 Abs. 3 BAV enthaltene Aufzählung der Verwendungszwecke ausdrücklich als abschliessend bezeichnet oder jede anderweitige Verwendung des Fahrtschreibers ausdrücklich als unzulässig erklärt würde. Das ist hier nicht der Fall. Ob es zulässig wäre, anhand der Einlageblätter des Fahrtschreibers nachträglich und systematisch die gefahrene Geschwindigkeit zu überprüfen und einen Fahrzeuglenker wegen der sich aus den Einlageblättern ergebenden Geschwindigkeitsüberschreitungen zu bestrafen, nachdem die Behörden bei der Diskussion um Art. 33 Abs. 3 BAV mehrfach betont hatten, dass es nicht um eine derartige systematische Kontrolle und Erfassung aller Geschwindigkeitsüberschreitungen gehe (siehe etwa den bereits zitierten Bericht des EJPD vom 31. August 1970, S. 10, 17), braucht hier nicht untersucht zu werden. Die Vorinstanz bestrafte den Beschwerdeführer lediglich wegen der von ihm am Unfalltag begangenen Geschwindigkeitsüberschreitungen, die durch Auswertung der anlässlich des Unfalls sichergestellten Diagrammscheibe festgestellt wurden. Weder Art. 33 Abs. 3 BAV noch eine andere Bestimmung des Bundesrechts verbieten ein solches Vorgehen.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